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61" w:firstLineChars="100"/>
        <w:jc w:val="both"/>
        <w:rPr>
          <w:rFonts w:hint="eastAsia" w:ascii="宋体" w:hAnsi="宋体" w:eastAsia="宋体" w:cs="宋体"/>
          <w:b/>
          <w:bCs/>
          <w:sz w:val="36"/>
          <w:szCs w:val="36"/>
        </w:rPr>
      </w:pPr>
      <w:r>
        <w:rPr>
          <w:rFonts w:hint="eastAsia" w:ascii="宋体" w:hAnsi="宋体" w:cs="宋体"/>
          <w:b/>
          <w:bCs/>
          <w:i w:val="0"/>
          <w:caps w:val="0"/>
          <w:color w:val="auto"/>
          <w:spacing w:val="0"/>
          <w:sz w:val="36"/>
          <w:szCs w:val="36"/>
          <w:lang w:val="en-US" w:eastAsia="zh-CN"/>
        </w:rPr>
        <w:t xml:space="preserve"> </w:t>
      </w:r>
      <w:r>
        <w:rPr>
          <w:rFonts w:hint="eastAsia" w:ascii="宋体" w:hAnsi="宋体" w:eastAsia="宋体" w:cs="宋体"/>
          <w:b/>
          <w:bCs/>
          <w:color w:val="auto"/>
          <w:sz w:val="36"/>
          <w:szCs w:val="36"/>
          <w:highlight w:val="none"/>
        </w:rPr>
        <w:t>第二轮中央生态环境保护督察反馈意见</w:t>
      </w:r>
      <w:r>
        <w:rPr>
          <w:rFonts w:hint="eastAsia" w:ascii="宋体" w:hAnsi="宋体" w:eastAsia="宋体" w:cs="宋体"/>
          <w:b/>
          <w:bCs/>
          <w:sz w:val="36"/>
          <w:szCs w:val="36"/>
        </w:rPr>
        <w:t>整改任务</w:t>
      </w:r>
    </w:p>
    <w:p>
      <w:pPr>
        <w:spacing w:line="600" w:lineRule="exact"/>
        <w:ind w:firstLine="1807" w:firstLineChars="500"/>
        <w:jc w:val="both"/>
        <w:rPr>
          <w:rFonts w:hint="eastAsia" w:ascii="宋体" w:hAnsi="宋体" w:eastAsia="宋体" w:cs="宋体"/>
          <w:b/>
          <w:bCs/>
          <w:i w:val="0"/>
          <w:caps w:val="0"/>
          <w:color w:val="auto"/>
          <w:spacing w:val="0"/>
          <w:sz w:val="36"/>
          <w:szCs w:val="36"/>
        </w:rPr>
      </w:pPr>
      <w:r>
        <w:rPr>
          <w:rFonts w:hint="eastAsia" w:ascii="宋体" w:hAnsi="宋体" w:eastAsia="宋体" w:cs="宋体"/>
          <w:b/>
          <w:bCs/>
          <w:sz w:val="36"/>
          <w:szCs w:val="36"/>
        </w:rPr>
        <w:t>（序号</w:t>
      </w:r>
      <w:r>
        <w:rPr>
          <w:rFonts w:hint="eastAsia" w:ascii="宋体" w:hAnsi="宋体" w:cs="宋体"/>
          <w:b/>
          <w:bCs/>
          <w:sz w:val="36"/>
          <w:szCs w:val="36"/>
          <w:lang w:val="en-US" w:eastAsia="zh-CN"/>
        </w:rPr>
        <w:t>一)</w:t>
      </w:r>
      <w:r>
        <w:rPr>
          <w:rFonts w:hint="eastAsia"/>
          <w:b/>
          <w:bCs/>
          <w:sz w:val="36"/>
          <w:szCs w:val="36"/>
          <w:highlight w:val="none"/>
        </w:rPr>
        <w:t xml:space="preserve"> </w:t>
      </w:r>
      <w:r>
        <w:rPr>
          <w:rFonts w:hint="eastAsia" w:ascii="宋体" w:hAnsi="宋体" w:eastAsia="宋体" w:cs="宋体"/>
          <w:b/>
          <w:bCs/>
          <w:i w:val="0"/>
          <w:caps w:val="0"/>
          <w:color w:val="auto"/>
          <w:spacing w:val="0"/>
          <w:sz w:val="36"/>
          <w:szCs w:val="36"/>
        </w:rPr>
        <w:t>完成情况的公示</w:t>
      </w:r>
    </w:p>
    <w:p>
      <w:pPr>
        <w:spacing w:line="360" w:lineRule="auto"/>
        <w:rPr>
          <w:rFonts w:hint="eastAsia" w:ascii="仿宋_GB2312" w:hAnsi="仿宋_GB2312" w:eastAsia="仿宋_GB2312" w:cs="仿宋_GB2312"/>
          <w:sz w:val="24"/>
          <w:szCs w:val="24"/>
          <w:lang w:eastAsia="zh-CN"/>
        </w:rPr>
      </w:pPr>
    </w:p>
    <w:p>
      <w:pPr>
        <w:spacing w:line="600" w:lineRule="exact"/>
        <w:ind w:firstLine="320" w:firstLineChars="100"/>
        <w:jc w:val="both"/>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　　</w:t>
      </w:r>
      <w:r>
        <w:rPr>
          <w:rFonts w:hint="eastAsia" w:ascii="仿宋" w:hAnsi="仿宋" w:eastAsia="仿宋" w:cs="仿宋"/>
          <w:sz w:val="32"/>
          <w:szCs w:val="32"/>
        </w:rPr>
        <w:t>为深入贯彻</w:t>
      </w:r>
      <w:r>
        <w:rPr>
          <w:rFonts w:hint="eastAsia" w:ascii="仿宋" w:hAnsi="仿宋" w:eastAsia="仿宋" w:cs="仿宋"/>
          <w:sz w:val="32"/>
          <w:szCs w:val="32"/>
          <w:lang w:eastAsia="zh-CN"/>
        </w:rPr>
        <w:t>落实中央</w:t>
      </w:r>
      <w:r>
        <w:rPr>
          <w:rFonts w:hint="eastAsia" w:ascii="仿宋" w:hAnsi="仿宋" w:eastAsia="仿宋" w:cs="仿宋"/>
          <w:sz w:val="32"/>
          <w:szCs w:val="32"/>
          <w:lang w:val="en-US" w:eastAsia="zh-CN"/>
        </w:rPr>
        <w:t>生态</w:t>
      </w:r>
      <w:r>
        <w:rPr>
          <w:rFonts w:hint="eastAsia" w:ascii="仿宋" w:hAnsi="仿宋" w:eastAsia="仿宋" w:cs="仿宋"/>
          <w:sz w:val="32"/>
          <w:szCs w:val="32"/>
        </w:rPr>
        <w:t>环</w:t>
      </w:r>
      <w:r>
        <w:rPr>
          <w:rFonts w:hint="eastAsia" w:ascii="仿宋" w:hAnsi="仿宋" w:eastAsia="仿宋" w:cs="仿宋"/>
          <w:sz w:val="32"/>
          <w:szCs w:val="32"/>
          <w:lang w:val="en-US" w:eastAsia="zh-CN"/>
        </w:rPr>
        <w:t>境</w:t>
      </w:r>
      <w:r>
        <w:rPr>
          <w:rFonts w:hint="eastAsia" w:ascii="仿宋" w:hAnsi="仿宋" w:eastAsia="仿宋" w:cs="仿宋"/>
          <w:sz w:val="32"/>
          <w:szCs w:val="32"/>
        </w:rPr>
        <w:t>保</w:t>
      </w:r>
      <w:r>
        <w:rPr>
          <w:rFonts w:hint="eastAsia" w:ascii="仿宋" w:hAnsi="仿宋" w:eastAsia="仿宋" w:cs="仿宋"/>
          <w:sz w:val="32"/>
          <w:szCs w:val="32"/>
          <w:lang w:val="en-US" w:eastAsia="zh-CN"/>
        </w:rPr>
        <w:t>护</w:t>
      </w:r>
      <w:r>
        <w:rPr>
          <w:rFonts w:hint="eastAsia" w:ascii="仿宋" w:hAnsi="仿宋" w:eastAsia="仿宋" w:cs="仿宋"/>
          <w:sz w:val="32"/>
          <w:szCs w:val="32"/>
        </w:rPr>
        <w:t>督察</w:t>
      </w:r>
      <w:r>
        <w:rPr>
          <w:rFonts w:hint="eastAsia" w:ascii="仿宋" w:hAnsi="仿宋" w:eastAsia="仿宋" w:cs="仿宋"/>
          <w:sz w:val="32"/>
          <w:szCs w:val="32"/>
          <w:lang w:eastAsia="zh-CN"/>
        </w:rPr>
        <w:t>反馈</w:t>
      </w:r>
      <w:r>
        <w:rPr>
          <w:rFonts w:hint="eastAsia" w:ascii="仿宋" w:hAnsi="仿宋" w:eastAsia="仿宋" w:cs="仿宋"/>
          <w:sz w:val="32"/>
          <w:szCs w:val="32"/>
        </w:rPr>
        <w:t>意见，努力改善全区生态环境质量，</w:t>
      </w:r>
      <w:r>
        <w:rPr>
          <w:rFonts w:hint="eastAsia" w:ascii="仿宋" w:hAnsi="仿宋" w:eastAsia="仿宋" w:cs="仿宋"/>
          <w:sz w:val="32"/>
          <w:szCs w:val="32"/>
          <w:lang w:eastAsia="zh-CN"/>
        </w:rPr>
        <w:t>长春市九台区环境保护督察反馈问题整改工作领导小组办公室</w:t>
      </w:r>
      <w:r>
        <w:rPr>
          <w:rFonts w:hint="eastAsia" w:ascii="仿宋" w:hAnsi="仿宋" w:eastAsia="仿宋" w:cs="仿宋"/>
          <w:sz w:val="32"/>
          <w:szCs w:val="32"/>
        </w:rPr>
        <w:t>积极开</w:t>
      </w:r>
      <w:r>
        <w:rPr>
          <w:rFonts w:hint="eastAsia" w:ascii="仿宋" w:hAnsi="仿宋" w:eastAsia="仿宋" w:cs="仿宋"/>
          <w:b w:val="0"/>
          <w:bCs w:val="0"/>
          <w:sz w:val="32"/>
          <w:szCs w:val="32"/>
        </w:rPr>
        <w:t>展</w:t>
      </w:r>
      <w:r>
        <w:rPr>
          <w:rFonts w:hint="eastAsia" w:ascii="仿宋" w:hAnsi="仿宋" w:eastAsia="仿宋" w:cs="仿宋"/>
          <w:b w:val="0"/>
          <w:bCs w:val="0"/>
          <w:color w:val="auto"/>
          <w:sz w:val="32"/>
          <w:szCs w:val="32"/>
          <w:highlight w:val="none"/>
        </w:rPr>
        <w:t>第二轮中央生态环境保护督察反馈意见</w:t>
      </w:r>
      <w:r>
        <w:rPr>
          <w:rFonts w:hint="eastAsia" w:ascii="仿宋" w:hAnsi="仿宋" w:eastAsia="仿宋" w:cs="仿宋"/>
          <w:b w:val="0"/>
          <w:bCs w:val="0"/>
          <w:sz w:val="32"/>
          <w:szCs w:val="32"/>
        </w:rPr>
        <w:t>整改工作。现将</w:t>
      </w:r>
      <w:r>
        <w:rPr>
          <w:rFonts w:hint="eastAsia" w:ascii="仿宋" w:hAnsi="仿宋" w:eastAsia="仿宋" w:cs="仿宋"/>
          <w:b w:val="0"/>
          <w:bCs w:val="0"/>
          <w:sz w:val="32"/>
          <w:szCs w:val="32"/>
          <w:lang w:eastAsia="zh-CN"/>
        </w:rPr>
        <w:t>第</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rPr>
        <w:t>问题</w:t>
      </w:r>
      <w:r>
        <w:rPr>
          <w:rFonts w:hint="eastAsia" w:ascii="仿宋" w:hAnsi="仿宋" w:eastAsia="仿宋" w:cs="仿宋"/>
          <w:sz w:val="32"/>
          <w:szCs w:val="32"/>
        </w:rPr>
        <w:t>整改</w:t>
      </w:r>
      <w:r>
        <w:rPr>
          <w:rFonts w:hint="eastAsia" w:ascii="仿宋" w:hAnsi="仿宋" w:eastAsia="仿宋" w:cs="仿宋"/>
          <w:sz w:val="32"/>
          <w:szCs w:val="32"/>
          <w:lang w:eastAsia="zh-CN"/>
        </w:rPr>
        <w:t>完成情况予以</w:t>
      </w:r>
      <w:r>
        <w:rPr>
          <w:rFonts w:hint="eastAsia" w:ascii="仿宋" w:hAnsi="仿宋" w:eastAsia="仿宋" w:cs="仿宋"/>
          <w:sz w:val="32"/>
          <w:szCs w:val="32"/>
        </w:rPr>
        <w:t>公示</w:t>
      </w:r>
      <w:r>
        <w:rPr>
          <w:rFonts w:hint="eastAsia" w:ascii="仿宋" w:hAnsi="仿宋" w:eastAsia="仿宋" w:cs="仿宋"/>
          <w:sz w:val="32"/>
          <w:szCs w:val="32"/>
          <w:lang w:eastAsia="zh-CN"/>
        </w:rPr>
        <w:t>。</w:t>
      </w:r>
    </w:p>
    <w:p>
      <w:pPr>
        <w:numPr>
          <w:ilvl w:val="0"/>
          <w:numId w:val="1"/>
        </w:num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整改任务</w:t>
      </w:r>
    </w:p>
    <w:p>
      <w:pPr>
        <w:keepNext w:val="0"/>
        <w:keepLines w:val="0"/>
        <w:pageBreakBefore w:val="0"/>
        <w:kinsoku/>
        <w:wordWrap/>
        <w:overflowPunct/>
        <w:topLinePunct w:val="0"/>
        <w:bidi w:val="0"/>
        <w:spacing w:line="360" w:lineRule="auto"/>
        <w:ind w:right="0" w:rightChars="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b w:val="0"/>
          <w:bCs w:val="0"/>
          <w:sz w:val="32"/>
          <w:szCs w:val="32"/>
        </w:rPr>
        <w:t>思想认识仍有差距。吉林省一些地方和部门学习贯彻习近平生态文明思想不够深入，对生态环境保护重要性、紧迫性的认识不够到位，工作推进与新发展理念要求还不相适应。谈话中，一些领导同志反映，一些地方对生态环境形势盲目乐观，存在“缓一缓”“歇口气”的想法，工作推进力度明显不足。有些地方生态环境保护工作仍被动处于“不干不行”的阶段，缺乏长期发展思路，持续性不足。一些部门生态环境保护“一岗双责”落实存在较大差距，有的将污水管网建设严重滞后的原因简单归结于财力有限、城市发展不及预期等客观原因。</w:t>
      </w:r>
    </w:p>
    <w:p>
      <w:pPr>
        <w:keepNext w:val="0"/>
        <w:keepLines w:val="0"/>
        <w:pageBreakBefore w:val="0"/>
        <w:numPr>
          <w:ilvl w:val="0"/>
          <w:numId w:val="0"/>
        </w:numPr>
        <w:kinsoku/>
        <w:wordWrap/>
        <w:overflowPunct/>
        <w:topLinePunct w:val="0"/>
        <w:bidi w:val="0"/>
        <w:spacing w:line="360" w:lineRule="auto"/>
        <w:ind w:right="0" w:rightChars="0" w:firstLine="640" w:firstLineChars="200"/>
        <w:textAlignment w:val="auto"/>
        <w:outlineLvl w:val="9"/>
        <w:rPr>
          <w:rFonts w:hint="eastAsia" w:ascii="仿宋_GB2312" w:hAnsi="仿宋_GB2312" w:eastAsia="仿宋_GB2312" w:cs="仿宋_GB2312"/>
          <w:b w:val="0"/>
          <w:bCs w:val="0"/>
          <w:color w:val="000000"/>
          <w:sz w:val="34"/>
          <w:szCs w:val="34"/>
        </w:rPr>
      </w:pPr>
      <w:r>
        <w:rPr>
          <w:rFonts w:hint="eastAsia" w:ascii="黑体" w:hAnsi="黑体" w:eastAsia="黑体" w:cs="黑体"/>
          <w:sz w:val="32"/>
          <w:szCs w:val="32"/>
          <w:lang w:val="en-US" w:eastAsia="zh-CN"/>
        </w:rPr>
        <w:t>二、整改目标</w:t>
      </w:r>
    </w:p>
    <w:p>
      <w:pPr>
        <w:pageBreakBefore w:val="0"/>
        <w:kinsoku/>
        <w:wordWrap/>
        <w:overflowPunct/>
        <w:topLinePunct w:val="0"/>
        <w:autoSpaceDE/>
        <w:autoSpaceDN/>
        <w:bidi w:val="0"/>
        <w:spacing w:line="576"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全</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各级党委、政府和相关部门进一步提高政治站位，切实增强紧迫感和责任感，全面落实“党政同责”“一岗双责”，树立正确的政绩观，压紧压实主体责任，贯彻落实新发展理念，从根本上解决对生态环境保护认识不到位、工作推进力度不足等问题。</w:t>
      </w:r>
    </w:p>
    <w:p>
      <w:pPr>
        <w:numPr>
          <w:ilvl w:val="0"/>
          <w:numId w:val="0"/>
        </w:numPr>
        <w:spacing w:line="360" w:lineRule="auto"/>
        <w:ind w:firstLine="640" w:firstLineChars="200"/>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sz w:val="32"/>
          <w:szCs w:val="32"/>
          <w:lang w:val="en-US" w:eastAsia="zh-CN"/>
        </w:rPr>
        <w:t>三、整改措施</w:t>
      </w:r>
    </w:p>
    <w:p>
      <w:pPr>
        <w:pageBreakBefore w:val="0"/>
        <w:numPr>
          <w:ilvl w:val="0"/>
          <w:numId w:val="0"/>
        </w:numPr>
        <w:kinsoku/>
        <w:wordWrap/>
        <w:overflowPunct/>
        <w:topLinePunct w:val="0"/>
        <w:autoSpaceDE/>
        <w:autoSpaceDN/>
        <w:bidi w:val="0"/>
        <w:spacing w:line="576"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深入学习贯彻习近平生态文明思想，按照习近平总书记视察吉林重要讲话重要指示精神，树立“绿水青山就是金山银山”的发展理念，力争把九台打造为长春市的东部生态屏障，用绿色发展引领全区经济社会建设，把新发展理念与实际工作相结合，推动九台生态环保事业高质量发展。</w:t>
      </w:r>
    </w:p>
    <w:p>
      <w:pPr>
        <w:pageBreakBefore w:val="0"/>
        <w:numPr>
          <w:ilvl w:val="0"/>
          <w:numId w:val="0"/>
        </w:numPr>
        <w:kinsoku/>
        <w:wordWrap/>
        <w:overflowPunct/>
        <w:topLinePunct w:val="0"/>
        <w:autoSpaceDE/>
        <w:autoSpaceDN/>
        <w:bidi w:val="0"/>
        <w:spacing w:line="576" w:lineRule="exact"/>
        <w:ind w:firstLine="640" w:firstLineChars="200"/>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sz w:val="32"/>
          <w:szCs w:val="32"/>
          <w:lang w:val="en-US" w:eastAsia="zh-CN"/>
        </w:rPr>
        <w:t>（二）切实增强各级干部积极推动绿色发展的自觉性，将学习贯彻习近平生态文明思想纳入区委理论中心组学习计划，落实到实际工作中。通过召开区委常委会、区政府党组会、常务会等形式，培养各级干部对环境保护工作重要性的认识，强化生态环境保护意识，将环境整改工作纳入本级年度绩效考核，严格落实生态环境保护“一岗双责”，将工作变被动为主动，助力九台区“两山理论基地”建设。</w:t>
      </w:r>
    </w:p>
    <w:p>
      <w:pPr>
        <w:pageBreakBefore w:val="0"/>
        <w:numPr>
          <w:ilvl w:val="0"/>
          <w:numId w:val="0"/>
        </w:numPr>
        <w:kinsoku/>
        <w:wordWrap/>
        <w:overflowPunct/>
        <w:topLinePunct w:val="0"/>
        <w:autoSpaceDE/>
        <w:autoSpaceDN/>
        <w:bidi w:val="0"/>
        <w:spacing w:line="576"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（三）坚定不移走生态优先、绿色发展之路，印发《关于构建现代环境治理体系实施意见》，将生态环保纳入“十四五”规划，</w:t>
      </w:r>
      <w:r>
        <w:rPr>
          <w:rFonts w:hint="eastAsia" w:ascii="仿宋" w:hAnsi="仿宋" w:eastAsia="仿宋" w:cs="仿宋"/>
          <w:b w:val="0"/>
          <w:bCs w:val="0"/>
          <w:color w:val="auto"/>
          <w:sz w:val="32"/>
          <w:szCs w:val="32"/>
          <w:lang w:val="en-US" w:eastAsia="zh-CN"/>
        </w:rPr>
        <w:t>启动实施农村人居环境整治提升行动。</w:t>
      </w:r>
    </w:p>
    <w:p>
      <w:pPr>
        <w:pageBreakBefore w:val="0"/>
        <w:kinsoku/>
        <w:wordWrap/>
        <w:overflowPunct/>
        <w:topLinePunct w:val="0"/>
        <w:autoSpaceDE/>
        <w:autoSpaceDN/>
        <w:bidi w:val="0"/>
        <w:spacing w:line="576"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通过区政府党组会、常务会等形式，讨论推进生态环保相关的议题，切实推动环境保护工作的进展；及时调整完善区生态安全工作暨生态环境保护领导小组和区环境保护督察反馈问题整改工作领导小组成员单位，工作领导小组每季度至少召开一次领导小组会议，研究部署生态环境保护重要工作，推进落实生态环境保护督察整改重点任务。</w:t>
      </w:r>
    </w:p>
    <w:p>
      <w:pPr>
        <w:pageBreakBefore w:val="0"/>
        <w:kinsoku/>
        <w:wordWrap/>
        <w:overflowPunct/>
        <w:topLinePunct w:val="0"/>
        <w:autoSpaceDE/>
        <w:autoSpaceDN/>
        <w:bidi w:val="0"/>
        <w:spacing w:line="576" w:lineRule="exact"/>
        <w:ind w:firstLine="640" w:firstLineChars="200"/>
        <w:rPr>
          <w:rFonts w:hint="eastAsia"/>
          <w:lang w:val="en-US" w:eastAsia="zh-CN"/>
        </w:rPr>
      </w:pPr>
      <w:r>
        <w:rPr>
          <w:rFonts w:hint="eastAsia" w:ascii="仿宋" w:hAnsi="仿宋" w:eastAsia="仿宋" w:cs="仿宋"/>
          <w:b w:val="0"/>
          <w:bCs w:val="0"/>
          <w:sz w:val="32"/>
          <w:szCs w:val="32"/>
          <w:lang w:val="en-US" w:eastAsia="zh-CN"/>
        </w:rPr>
        <w:t>（五）严格落实《长春市九台区生态环境保护工作职责规定（试行）》将生态环境保护重点任务纳入政府绩效考核，并强化考核结果运用；压紧压实“党政同责、一岗双责”与“三管三必须”原则，区政府牵头，各级党委主要负责人亲</w:t>
      </w:r>
      <w:r>
        <w:rPr>
          <w:rFonts w:hint="eastAsia" w:ascii="仿宋" w:hAnsi="仿宋" w:eastAsia="仿宋" w:cs="仿宋"/>
          <w:b w:val="0"/>
          <w:bCs w:val="0"/>
          <w:spacing w:val="6"/>
          <w:sz w:val="32"/>
          <w:szCs w:val="32"/>
          <w:lang w:val="en-US" w:eastAsia="zh-CN"/>
        </w:rPr>
        <w:t>自抓环境保护和督察整改，确保各项工作落到实处、取得实效。</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四、整改效果</w:t>
      </w:r>
    </w:p>
    <w:p>
      <w:pPr>
        <w:numPr>
          <w:ilvl w:val="0"/>
          <w:numId w:val="0"/>
        </w:numPr>
        <w:spacing w:line="360" w:lineRule="auto"/>
        <w:ind w:firstLine="640"/>
        <w:rPr>
          <w:rFonts w:hint="eastAsia" w:ascii="仿宋_GB2312" w:hAnsi="仿宋_GB2312" w:eastAsia="仿宋_GB2312" w:cs="仿宋_GB2312"/>
          <w:sz w:val="32"/>
          <w:szCs w:val="32"/>
          <w:lang w:val="en-US" w:eastAsia="zh-CN"/>
        </w:rPr>
      </w:pPr>
      <w:r>
        <w:rPr>
          <w:rFonts w:hint="eastAsia" w:ascii="仿宋_GB2312" w:hAnsi="宋体" w:eastAsia="仿宋_GB2312" w:cs="Times New Roman"/>
          <w:sz w:val="32"/>
          <w:szCs w:val="32"/>
          <w:lang w:val="en-US" w:eastAsia="zh-CN"/>
        </w:rPr>
        <w:t>目前，整改方案确定的整改措施已全部完成。</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欢</w:t>
      </w:r>
      <w:r>
        <w:rPr>
          <w:rFonts w:hint="eastAsia" w:ascii="仿宋_GB2312" w:hAnsi="仿宋_GB2312" w:eastAsia="仿宋_GB2312" w:cs="仿宋_GB2312"/>
          <w:b w:val="0"/>
          <w:i w:val="0"/>
          <w:caps w:val="0"/>
          <w:color w:val="333333"/>
          <w:spacing w:val="0"/>
          <w:sz w:val="32"/>
          <w:szCs w:val="32"/>
          <w:shd w:val="clear" w:color="080000" w:fill="FFFFFF"/>
        </w:rPr>
        <w:t>迎广大人民群众监督</w:t>
      </w:r>
      <w:r>
        <w:rPr>
          <w:rFonts w:hint="eastAsia" w:ascii="仿宋_GB2312" w:hAnsi="仿宋_GB2312" w:eastAsia="仿宋_GB2312" w:cs="仿宋_GB2312"/>
          <w:b w:val="0"/>
          <w:i w:val="0"/>
          <w:caps w:val="0"/>
          <w:color w:val="333333"/>
          <w:spacing w:val="0"/>
          <w:sz w:val="32"/>
          <w:szCs w:val="32"/>
          <w:shd w:val="clear" w:color="080000" w:fill="FFFFFF"/>
          <w:lang w:eastAsia="zh-CN"/>
        </w:rPr>
        <w:t>。</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rPr>
        <w:t>公示时间：</w:t>
      </w:r>
      <w:r>
        <w:rPr>
          <w:rFonts w:hint="eastAsia" w:ascii="仿宋_GB2312" w:hAnsi="仿宋_GB2312" w:eastAsia="仿宋_GB2312" w:cs="仿宋_GB2312"/>
          <w:b w:val="0"/>
          <w:i w:val="0"/>
          <w:caps w:val="0"/>
          <w:color w:val="333333"/>
          <w:spacing w:val="0"/>
          <w:sz w:val="32"/>
          <w:szCs w:val="32"/>
          <w:highlight w:val="none"/>
          <w:shd w:val="clear" w:color="080000" w:fill="FFFFFF"/>
        </w:rPr>
        <w:t>20</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22</w:t>
      </w:r>
      <w:r>
        <w:rPr>
          <w:rFonts w:hint="eastAsia" w:ascii="仿宋_GB2312" w:hAnsi="仿宋_GB2312" w:eastAsia="仿宋_GB2312" w:cs="仿宋_GB2312"/>
          <w:b w:val="0"/>
          <w:i w:val="0"/>
          <w:caps w:val="0"/>
          <w:color w:val="333333"/>
          <w:spacing w:val="0"/>
          <w:sz w:val="32"/>
          <w:szCs w:val="32"/>
          <w:highlight w:val="none"/>
          <w:shd w:val="clear" w:color="080000" w:fill="FFFFFF"/>
        </w:rPr>
        <w:t>年</w:t>
      </w:r>
      <w:r>
        <w:rPr>
          <w:rFonts w:hint="default" w:ascii="仿宋_GB2312" w:hAnsi="仿宋_GB2312" w:eastAsia="仿宋_GB2312" w:cs="仿宋_GB2312"/>
          <w:b w:val="0"/>
          <w:i w:val="0"/>
          <w:caps w:val="0"/>
          <w:color w:val="333333"/>
          <w:spacing w:val="0"/>
          <w:sz w:val="32"/>
          <w:szCs w:val="32"/>
          <w:highlight w:val="none"/>
          <w:shd w:val="clear" w:color="080000" w:fill="FFFFFF"/>
          <w:lang w:val="en-US"/>
        </w:rPr>
        <w:t>10</w:t>
      </w:r>
      <w:r>
        <w:rPr>
          <w:rFonts w:hint="eastAsia" w:ascii="仿宋_GB2312" w:hAnsi="仿宋_GB2312" w:eastAsia="仿宋_GB2312" w:cs="仿宋_GB2312"/>
          <w:b w:val="0"/>
          <w:i w:val="0"/>
          <w:caps w:val="0"/>
          <w:color w:val="333333"/>
          <w:spacing w:val="0"/>
          <w:sz w:val="32"/>
          <w:szCs w:val="32"/>
          <w:highlight w:val="none"/>
          <w:shd w:val="clear" w:color="080000" w:fill="FFFFFF"/>
        </w:rPr>
        <w:t>月</w:t>
      </w:r>
      <w:r>
        <w:rPr>
          <w:rFonts w:hint="default" w:ascii="仿宋_GB2312" w:hAnsi="仿宋_GB2312" w:eastAsia="仿宋_GB2312" w:cs="仿宋_GB2312"/>
          <w:b w:val="0"/>
          <w:i w:val="0"/>
          <w:caps w:val="0"/>
          <w:color w:val="333333"/>
          <w:spacing w:val="0"/>
          <w:sz w:val="32"/>
          <w:szCs w:val="32"/>
          <w:highlight w:val="none"/>
          <w:shd w:val="clear" w:color="080000" w:fill="FFFFFF"/>
          <w:lang w:val="en-US"/>
        </w:rPr>
        <w:t>25</w:t>
      </w:r>
      <w:r>
        <w:rPr>
          <w:rFonts w:hint="eastAsia" w:ascii="仿宋_GB2312" w:hAnsi="仿宋_GB2312" w:eastAsia="仿宋_GB2312" w:cs="仿宋_GB2312"/>
          <w:b w:val="0"/>
          <w:i w:val="0"/>
          <w:caps w:val="0"/>
          <w:color w:val="333333"/>
          <w:spacing w:val="0"/>
          <w:sz w:val="32"/>
          <w:szCs w:val="32"/>
          <w:highlight w:val="none"/>
          <w:shd w:val="clear" w:color="080000" w:fill="FFFFFF"/>
        </w:rPr>
        <w:t>日至</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2022年</w:t>
      </w:r>
      <w:r>
        <w:rPr>
          <w:rFonts w:hint="default" w:ascii="仿宋_GB2312" w:hAnsi="仿宋_GB2312" w:eastAsia="仿宋_GB2312" w:cs="仿宋_GB2312"/>
          <w:b w:val="0"/>
          <w:i w:val="0"/>
          <w:caps w:val="0"/>
          <w:color w:val="333333"/>
          <w:spacing w:val="0"/>
          <w:sz w:val="32"/>
          <w:szCs w:val="32"/>
          <w:highlight w:val="none"/>
          <w:shd w:val="clear" w:color="080000" w:fill="FFFFFF"/>
          <w:lang w:val="en-US" w:eastAsia="zh-CN"/>
        </w:rPr>
        <w:t>11</w:t>
      </w:r>
      <w:r>
        <w:rPr>
          <w:rFonts w:hint="eastAsia" w:ascii="仿宋_GB2312" w:hAnsi="仿宋_GB2312" w:eastAsia="仿宋_GB2312" w:cs="仿宋_GB2312"/>
          <w:b w:val="0"/>
          <w:i w:val="0"/>
          <w:caps w:val="0"/>
          <w:color w:val="333333"/>
          <w:spacing w:val="0"/>
          <w:sz w:val="32"/>
          <w:szCs w:val="32"/>
          <w:highlight w:val="none"/>
          <w:shd w:val="clear" w:color="080000" w:fill="FFFFFF"/>
        </w:rPr>
        <w:t>月</w:t>
      </w:r>
      <w:r>
        <w:rPr>
          <w:rFonts w:hint="default" w:ascii="仿宋_GB2312" w:hAnsi="仿宋_GB2312" w:eastAsia="仿宋_GB2312" w:cs="仿宋_GB2312"/>
          <w:b w:val="0"/>
          <w:i w:val="0"/>
          <w:caps w:val="0"/>
          <w:color w:val="333333"/>
          <w:spacing w:val="0"/>
          <w:sz w:val="32"/>
          <w:szCs w:val="32"/>
          <w:highlight w:val="none"/>
          <w:shd w:val="clear" w:color="080000" w:fill="FFFFFF"/>
          <w:lang w:val="en-US"/>
        </w:rPr>
        <w:t>8</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日</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监督</w:t>
      </w:r>
      <w:r>
        <w:rPr>
          <w:rFonts w:hint="eastAsia" w:ascii="仿宋_GB2312" w:hAnsi="仿宋_GB2312" w:eastAsia="仿宋_GB2312" w:cs="仿宋_GB2312"/>
          <w:b w:val="0"/>
          <w:i w:val="0"/>
          <w:caps w:val="0"/>
          <w:color w:val="333333"/>
          <w:spacing w:val="0"/>
          <w:sz w:val="32"/>
          <w:szCs w:val="32"/>
          <w:shd w:val="clear" w:color="080000" w:fill="FFFFFF"/>
        </w:rPr>
        <w:t>电话：</w:t>
      </w:r>
      <w:r>
        <w:rPr>
          <w:rFonts w:hint="eastAsia" w:ascii="仿宋_GB2312" w:hAnsi="仿宋_GB2312" w:eastAsia="仿宋_GB2312" w:cs="仿宋_GB2312"/>
          <w:b w:val="0"/>
          <w:i w:val="0"/>
          <w:caps w:val="0"/>
          <w:color w:val="333333"/>
          <w:spacing w:val="0"/>
          <w:sz w:val="32"/>
          <w:szCs w:val="32"/>
          <w:shd w:val="clear" w:color="080000" w:fill="FFFFFF"/>
          <w:lang w:val="en-US" w:eastAsia="zh-CN"/>
        </w:rPr>
        <w:t>0431-82346299</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长春市九台区环境保护督察反馈</w:t>
      </w: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问题整改工作领导小组办公室 </w:t>
      </w:r>
    </w:p>
    <w:p>
      <w:pPr>
        <w:numPr>
          <w:ilvl w:val="0"/>
          <w:numId w:val="0"/>
        </w:numPr>
        <w:wordWrap w:val="0"/>
        <w:spacing w:line="360" w:lineRule="auto"/>
        <w:jc w:val="both"/>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2022年</w:t>
      </w:r>
      <w:r>
        <w:rPr>
          <w:rFonts w:hint="default" w:ascii="仿宋_GB2312" w:hAnsi="仿宋_GB2312" w:eastAsia="仿宋_GB2312" w:cs="仿宋_GB2312"/>
          <w:b w:val="0"/>
          <w:i w:val="0"/>
          <w:caps w:val="0"/>
          <w:color w:val="auto"/>
          <w:spacing w:val="0"/>
          <w:sz w:val="32"/>
          <w:szCs w:val="32"/>
          <w:highlight w:val="none"/>
          <w:shd w:val="clear" w:color="080000" w:fill="FFFFFF"/>
          <w:lang w:val="en-US" w:eastAsia="zh-CN"/>
        </w:rPr>
        <w:t>10</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月2</w:t>
      </w:r>
      <w:r>
        <w:rPr>
          <w:rFonts w:hint="default" w:ascii="仿宋_GB2312" w:hAnsi="仿宋_GB2312" w:eastAsia="仿宋_GB2312" w:cs="仿宋_GB2312"/>
          <w:b w:val="0"/>
          <w:i w:val="0"/>
          <w:caps w:val="0"/>
          <w:color w:val="auto"/>
          <w:spacing w:val="0"/>
          <w:sz w:val="32"/>
          <w:szCs w:val="32"/>
          <w:highlight w:val="none"/>
          <w:shd w:val="clear" w:color="080000" w:fill="FFFFFF"/>
          <w:lang w:val="en-US" w:eastAsia="zh-CN"/>
        </w:rPr>
        <w:t>5</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 xml:space="preserve">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DE17C"/>
    <w:multiLevelType w:val="singleLevel"/>
    <w:tmpl w:val="5DEDE17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WNlNWVkMTAzZjA5ZDQ4NDZlNmYxNzRmYTMxZGQifQ=="/>
  </w:docVars>
  <w:rsids>
    <w:rsidRoot w:val="461A215D"/>
    <w:rsid w:val="461A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color w:val="000000"/>
      <w:sz w:val="18"/>
      <w:szCs w:val="1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2023-03-27T02:49:00Z</dcterms:created>
  <dc:creator>阳光</dc:creator>
  <cp:lastModifiedBy>阳光</cp:lastModifiedBy>
  <dcterms:modified xsi:type="dcterms:W3CDTF">2023-03-27T02:50:47Z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69F1D6E33D18469B9AB46D6C33227560</vt:lpwstr>
  </property>
</Properties>
</file>