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eastAsia="zh-CN"/>
        </w:rPr>
        <w:t>六</w:t>
      </w:r>
      <w:r>
        <w:rPr>
          <w:rFonts w:hint="eastAsia" w:ascii="宋体" w:hAnsi="宋体" w:cs="宋体"/>
          <w:b/>
          <w:bCs/>
          <w:sz w:val="36"/>
          <w:szCs w:val="36"/>
          <w:lang w:val="en-US" w:eastAsia="zh-CN"/>
        </w:rPr>
        <w:t>)</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第六</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sz w:val="32"/>
          <w:szCs w:val="32"/>
          <w:lang w:val="en-US" w:eastAsia="zh-CN"/>
        </w:rPr>
        <w:t>督察发现，一些地区对严峻形势缺乏清醒认识</w:t>
      </w:r>
      <w:r>
        <w:rPr>
          <w:rFonts w:hint="eastAsia" w:ascii="仿宋" w:hAnsi="仿宋" w:eastAsia="仿宋" w:cs="仿宋"/>
          <w:b w:val="0"/>
          <w:bCs w:val="0"/>
          <w:sz w:val="32"/>
          <w:szCs w:val="32"/>
        </w:rPr>
        <w:t>，仍在违规上马高耗能、高排放项目。</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整改目标</w:t>
      </w:r>
    </w:p>
    <w:p>
      <w:pPr>
        <w:keepNext w:val="0"/>
        <w:keepLines w:val="0"/>
        <w:pageBreakBefore w:val="0"/>
        <w:numPr>
          <w:ilvl w:val="0"/>
          <w:numId w:val="0"/>
        </w:numPr>
        <w:kinsoku/>
        <w:wordWrap/>
        <w:overflowPunct/>
        <w:topLinePunct w:val="0"/>
        <w:bidi w:val="0"/>
        <w:spacing w:line="360" w:lineRule="auto"/>
        <w:ind w:leftChars="200" w:right="0" w:rightChars="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坚决遏制两高项目盲目发展</w:t>
      </w:r>
    </w:p>
    <w:p>
      <w:pPr>
        <w:numPr>
          <w:ilvl w:val="0"/>
          <w:numId w:val="1"/>
        </w:numPr>
        <w:spacing w:line="360" w:lineRule="auto"/>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深入学习贯彻习近平生态文明思想，清醒认识能耗“双控”严峻形势，坚决遏制“两高”项目盲目建设，完整、全面、准确贯彻新发展理念，加快能源结构转型，推动“十四五”经济社会发展全面绿色转型。</w:t>
      </w:r>
      <w:r>
        <w:rPr>
          <w:rFonts w:hint="eastAsia" w:ascii="仿宋" w:hAnsi="仿宋" w:eastAsia="仿宋" w:cs="仿宋"/>
          <w:b w:val="0"/>
          <w:bCs w:val="0"/>
          <w:color w:val="000000"/>
          <w:sz w:val="32"/>
          <w:szCs w:val="32"/>
          <w:highlight w:val="none"/>
        </w:rPr>
        <w:t>(区发改局</w:t>
      </w:r>
      <w:r>
        <w:rPr>
          <w:rFonts w:hint="eastAsia" w:ascii="仿宋" w:hAnsi="仿宋" w:eastAsia="仿宋" w:cs="仿宋"/>
          <w:b w:val="0"/>
          <w:bCs w:val="0"/>
          <w:color w:val="000000"/>
          <w:sz w:val="32"/>
          <w:szCs w:val="32"/>
          <w:highlight w:val="none"/>
          <w:lang w:eastAsia="zh-CN"/>
        </w:rPr>
        <w:t>负责</w:t>
      </w:r>
      <w:r>
        <w:rPr>
          <w:rFonts w:hint="eastAsia" w:ascii="仿宋" w:hAnsi="仿宋" w:eastAsia="仿宋" w:cs="仿宋"/>
          <w:b w:val="0"/>
          <w:bCs w:val="0"/>
          <w:color w:val="000000"/>
          <w:sz w:val="32"/>
          <w:szCs w:val="32"/>
          <w:highlight w:val="none"/>
        </w:rPr>
        <w:t>)</w:t>
      </w:r>
    </w:p>
    <w:p>
      <w:pPr>
        <w:pageBreakBefore w:val="0"/>
        <w:numPr>
          <w:ilvl w:val="0"/>
          <w:numId w:val="0"/>
        </w:numPr>
        <w:kinsoku/>
        <w:wordWrap/>
        <w:overflowPunct/>
        <w:topLinePunct w:val="0"/>
        <w:autoSpaceDE/>
        <w:autoSpaceDN/>
        <w:bidi w:val="0"/>
        <w:spacing w:line="576" w:lineRule="exact"/>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二）</w:t>
      </w:r>
      <w:r>
        <w:rPr>
          <w:rFonts w:hint="eastAsia" w:ascii="仿宋" w:hAnsi="仿宋" w:eastAsia="仿宋" w:cs="仿宋"/>
          <w:b w:val="0"/>
          <w:bCs w:val="0"/>
          <w:color w:val="000000"/>
          <w:sz w:val="32"/>
          <w:szCs w:val="32"/>
          <w:highlight w:val="none"/>
        </w:rPr>
        <w:t>严格按照国家产业目录审批项目，在核准或备案“两高”行业项目时，严格审查是否符合产业政策、产业规划要求及园区管理有关规定，是否依法依规落实相应减量、等量替代，不符合或未落实的，一律不予核准或备案。(区发改局</w:t>
      </w:r>
      <w:r>
        <w:rPr>
          <w:rFonts w:hint="eastAsia" w:ascii="仿宋" w:hAnsi="仿宋" w:eastAsia="仿宋" w:cs="仿宋"/>
          <w:b w:val="0"/>
          <w:bCs w:val="0"/>
          <w:color w:val="000000"/>
          <w:sz w:val="32"/>
          <w:szCs w:val="32"/>
          <w:highlight w:val="none"/>
          <w:lang w:eastAsia="zh-CN"/>
        </w:rPr>
        <w:t>负责</w:t>
      </w:r>
      <w:r>
        <w:rPr>
          <w:rFonts w:hint="eastAsia" w:ascii="仿宋" w:hAnsi="仿宋" w:eastAsia="仿宋" w:cs="仿宋"/>
          <w:b w:val="0"/>
          <w:bCs w:val="0"/>
          <w:color w:val="000000"/>
          <w:sz w:val="32"/>
          <w:szCs w:val="32"/>
          <w:highlight w:val="none"/>
        </w:rPr>
        <w:t>)</w:t>
      </w:r>
    </w:p>
    <w:p>
      <w:pPr>
        <w:pageBreakBefore w:val="0"/>
        <w:numPr>
          <w:ilvl w:val="0"/>
          <w:numId w:val="0"/>
        </w:numPr>
        <w:kinsoku/>
        <w:wordWrap/>
        <w:overflowPunct/>
        <w:topLinePunct w:val="0"/>
        <w:autoSpaceDE/>
        <w:autoSpaceDN/>
        <w:bidi w:val="0"/>
        <w:spacing w:line="576" w:lineRule="exact"/>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三）</w:t>
      </w:r>
      <w:r>
        <w:rPr>
          <w:rFonts w:hint="eastAsia" w:ascii="仿宋" w:hAnsi="仿宋" w:eastAsia="仿宋" w:cs="仿宋"/>
          <w:b w:val="0"/>
          <w:bCs w:val="0"/>
          <w:color w:val="000000"/>
          <w:sz w:val="32"/>
          <w:szCs w:val="32"/>
          <w:highlight w:val="none"/>
        </w:rPr>
        <w:t>在建设项目环评审批过程中严格执行国家产业政策和相关园区规划环评要求</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严格落实主要污染物减排，对二氧化硫、氮氧化物等主要污染物排放实施总量控制，建立减排台账，并严格按照要求进行双倍等量替代</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sz w:val="32"/>
          <w:szCs w:val="32"/>
          <w:highlight w:val="none"/>
          <w:lang w:eastAsia="zh-CN"/>
        </w:rPr>
        <w:t>市</w:t>
      </w:r>
      <w:r>
        <w:rPr>
          <w:rFonts w:hint="eastAsia" w:ascii="仿宋" w:hAnsi="仿宋" w:eastAsia="仿宋" w:cs="仿宋"/>
          <w:b w:val="0"/>
          <w:bCs w:val="0"/>
          <w:color w:val="000000"/>
          <w:sz w:val="32"/>
          <w:szCs w:val="32"/>
          <w:highlight w:val="none"/>
          <w:lang w:val="en-US" w:eastAsia="zh-CN"/>
        </w:rPr>
        <w:t>生态环境局九台区分局负责</w:t>
      </w:r>
      <w:r>
        <w:rPr>
          <w:rFonts w:hint="eastAsia" w:ascii="仿宋" w:hAnsi="仿宋" w:eastAsia="仿宋" w:cs="仿宋"/>
          <w:b w:val="0"/>
          <w:bCs w:val="0"/>
          <w:color w:val="000000"/>
          <w:sz w:val="32"/>
          <w:szCs w:val="32"/>
          <w:highlight w:val="none"/>
        </w:rPr>
        <w:t>)</w:t>
      </w:r>
    </w:p>
    <w:p>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val="0"/>
          <w:bCs w:val="0"/>
          <w:sz w:val="32"/>
          <w:szCs w:val="32"/>
          <w:lang w:val="en-US" w:eastAsia="zh-CN"/>
        </w:rPr>
        <w:t>四、整改效果</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8</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2022年12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23日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2022年12月8日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68D2311A"/>
    <w:rsid w:val="68D2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2023-03-27T03:00:00Z</dcterms:created>
  <dc:creator>阳光</dc:creator>
  <cp:lastModifiedBy>阳光</cp:lastModifiedBy>
  <dcterms:modified xsi:type="dcterms:W3CDTF">2023-03-27T03:00:36Z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64324F34B52E4771BA7ABE24ADE9D253</vt:lpwstr>
  </property>
</Properties>
</file>