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吉林省长春市九台区兴隆街道办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57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_Toc9505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_Toc9505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_Toc29820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bookmarkStart w:id="12" w:name="_GoBack"/>
          <w:bookmarkEnd w:id="12"/>
          <w:r>
            <w:tab/>
          </w:r>
          <w:r>
            <w:fldChar w:fldCharType="begin"/>
          </w:r>
          <w:r>
            <w:instrText xml:space="preserve"> PAGEREF _Toc29820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_Toc22228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_Toc22228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950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探索现代农业发展新路径，立足域内农机保有量全区第一的优势，推广水肥一体化、无人机植保等技术，持续发展科技农业、绿色农业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运用“互联网+特色农产品”模式，拓宽农产品的销售渠道，推进特色优势农产品产业发展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挖掘域内古遗址历史文化，结合兴隆花海、休闲垂钓等乡村特色元素，推进农业与文旅深度融合，发展乡村旅游经济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 （12项）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982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222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6D59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2025-06-27T11:12:56Z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C66FE463E2CB42B09D34E68DC435BD7A</vt:lpwstr>
  </property>
</Properties>
</file>