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长春市</w:t>
      </w:r>
      <w:r>
        <w:rPr>
          <w:rFonts w:hint="eastAsia" w:ascii="Times New Roman" w:hAnsi="Times New Roman" w:cs="Times New Roman"/>
          <w:b/>
          <w:bCs/>
          <w:sz w:val="32"/>
          <w:szCs w:val="32"/>
          <w:lang w:val="en-US" w:eastAsia="zh-CN"/>
        </w:rPr>
        <w:t>九台</w:t>
      </w:r>
      <w:r>
        <w:rPr>
          <w:rFonts w:hint="default" w:ascii="Times New Roman" w:hAnsi="Times New Roman" w:eastAsia="宋体" w:cs="Times New Roman"/>
          <w:b/>
          <w:bCs/>
          <w:sz w:val="32"/>
          <w:szCs w:val="32"/>
          <w:lang w:val="en-US" w:eastAsia="zh-CN"/>
        </w:rPr>
        <w:t>区生态环境保护“十四五”规划</w:t>
      </w:r>
      <w:r>
        <w:rPr>
          <w:rFonts w:hint="default" w:ascii="Times New Roman" w:hAnsi="Times New Roman" w:cs="Times New Roman"/>
          <w:b/>
          <w:bCs/>
          <w:sz w:val="32"/>
          <w:szCs w:val="32"/>
          <w:lang w:val="en-US" w:eastAsia="zh-CN"/>
        </w:rPr>
        <w:t>项目清单</w:t>
      </w:r>
    </w:p>
    <w:tbl>
      <w:tblPr>
        <w:tblW w:w="14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
        <w:gridCol w:w="445"/>
        <w:gridCol w:w="964"/>
        <w:gridCol w:w="1484"/>
        <w:gridCol w:w="2289"/>
        <w:gridCol w:w="559"/>
        <w:gridCol w:w="1396"/>
        <w:gridCol w:w="976"/>
        <w:gridCol w:w="1546"/>
        <w:gridCol w:w="899"/>
        <w:gridCol w:w="738"/>
        <w:gridCol w:w="1614"/>
        <w:gridCol w:w="823"/>
      </w:tblGrid>
      <w:tr>
        <w:trPr>
          <w:trHeight w:val="810" w:hRule="atLeast"/>
        </w:trPr>
        <w:tc>
          <w:tcPr>
            <w:tcW w:w="430"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序号</w:t>
            </w:r>
          </w:p>
        </w:tc>
        <w:tc>
          <w:tcPr>
            <w:tcW w:w="445"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项目大类</w:t>
            </w:r>
          </w:p>
        </w:tc>
        <w:tc>
          <w:tcPr>
            <w:tcW w:w="964"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项目分类</w:t>
            </w:r>
          </w:p>
        </w:tc>
        <w:tc>
          <w:tcPr>
            <w:tcW w:w="1484"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项目名称</w:t>
            </w:r>
          </w:p>
        </w:tc>
        <w:tc>
          <w:tcPr>
            <w:tcW w:w="2289"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主要建设内容及规模</w:t>
            </w:r>
          </w:p>
        </w:tc>
        <w:tc>
          <w:tcPr>
            <w:tcW w:w="559"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属性</w:t>
            </w:r>
          </w:p>
        </w:tc>
        <w:tc>
          <w:tcPr>
            <w:tcW w:w="1396"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项目建设主体</w:t>
            </w:r>
          </w:p>
        </w:tc>
        <w:tc>
          <w:tcPr>
            <w:tcW w:w="976"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建设地点</w:t>
            </w:r>
          </w:p>
        </w:tc>
        <w:tc>
          <w:tcPr>
            <w:tcW w:w="1546"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建设期限</w:t>
            </w:r>
          </w:p>
        </w:tc>
        <w:tc>
          <w:tcPr>
            <w:tcW w:w="899"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总投资</w:t>
            </w:r>
            <w:r>
              <w:rPr>
                <w:rFonts w:hint="default" w:ascii="Times New Roman" w:hAnsi="Times New Roman" w:eastAsia="宋体" w:cs="Times New Roman"/>
                <w:b/>
                <w:bCs/>
                <w:i w:val="0"/>
                <w:iCs w:val="0"/>
                <w:color w:val="000000"/>
                <w:kern w:val="0"/>
                <w:sz w:val="21"/>
                <w:szCs w:val="21"/>
                <w:u w:val="none"/>
                <w:lang w:val="en-US" w:eastAsia="zh-CN"/>
              </w:rPr>
              <w:br/>
            </w:r>
            <w:r>
              <w:rPr>
                <w:rFonts w:hint="default" w:ascii="Times New Roman" w:hAnsi="Times New Roman" w:eastAsia="宋体" w:cs="Times New Roman"/>
                <w:b/>
                <w:bCs/>
                <w:i w:val="0"/>
                <w:iCs w:val="0"/>
                <w:color w:val="000000"/>
                <w:kern w:val="0"/>
                <w:sz w:val="21"/>
                <w:szCs w:val="21"/>
                <w:u w:val="none"/>
                <w:lang w:val="en-US" w:eastAsia="zh-CN"/>
              </w:rPr>
              <w:t>（万元）</w:t>
            </w:r>
          </w:p>
        </w:tc>
        <w:tc>
          <w:tcPr>
            <w:tcW w:w="738"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责任单位</w:t>
            </w:r>
          </w:p>
        </w:tc>
        <w:tc>
          <w:tcPr>
            <w:tcW w:w="1614"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项目进展</w:t>
            </w:r>
          </w:p>
        </w:tc>
        <w:tc>
          <w:tcPr>
            <w:tcW w:w="823" w:type="dxa"/>
            <w:tcBorders>
              <w:tl2br w:val="nil"/>
              <w:tr2bl w:val="nil"/>
            </w:tcBorders>
            <w:shd w:val="clear" w:color="auto" w:fill="E2EFDA"/>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项目来源</w:t>
            </w:r>
          </w:p>
        </w:tc>
      </w:tr>
      <w:tr>
        <w:trPr>
          <w:trHeight w:val="810"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大气</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能源</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中航新能源九台生物质热电联产项目</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建设1X30MW高温高压抽气凝气式汽轮机、1X130t/h高温高压水冷震动炉排锅炉、1X30MW空冷式发电机</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长春航聚生物智能有限公司</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长春市九台区其塔木镇新鲜村</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2021-2023</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60000</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九台区其塔木镇</w:t>
            </w:r>
          </w:p>
        </w:tc>
        <w:tc>
          <w:tcPr>
            <w:tcW w:w="1614" w:type="dxa"/>
            <w:tcBorders>
              <w:tl2br w:val="nil"/>
              <w:tr2bl w:val="nil"/>
            </w:tcBorders>
            <w:vAlign w:val="center"/>
          </w:tcPr>
          <w:p>
            <w:pPr>
              <w:widowControl/>
              <w:jc w:val="center"/>
              <w:textAlignment w:val="center"/>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有环评、施工许可证。</w:t>
            </w:r>
          </w:p>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预计2022年6-7月开工，2023年完工。</w:t>
            </w:r>
          </w:p>
        </w:tc>
        <w:tc>
          <w:tcPr>
            <w:tcW w:w="823"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rPr>
              <w:t>上报</w:t>
            </w:r>
          </w:p>
        </w:tc>
      </w:tr>
      <w:tr>
        <w:trPr>
          <w:trHeight w:val="90"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大气</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企业治理</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华能九台电厂长距离集中供热项目</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建设供热管线、供热首站、中继泵站及热源改造等内容，向长春市东部供热。</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华能吉林发电有限公司九台电厂</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2021-2024</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213066</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市生态环境局</w:t>
            </w:r>
          </w:p>
        </w:tc>
        <w:tc>
          <w:tcPr>
            <w:tcW w:w="161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已开工</w:t>
            </w:r>
          </w:p>
        </w:tc>
        <w:tc>
          <w:tcPr>
            <w:tcW w:w="823" w:type="dxa"/>
            <w:tcBorders>
              <w:tl2br w:val="nil"/>
              <w:tr2bl w:val="nil"/>
            </w:tcBorders>
            <w:vAlign w:val="center"/>
          </w:tcPr>
          <w:p>
            <w:pPr>
              <w:widowControl/>
              <w:jc w:val="center"/>
              <w:textAlignment w:val="center"/>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重点企业征集</w:t>
            </w:r>
          </w:p>
        </w:tc>
      </w:tr>
      <w:tr>
        <w:trPr>
          <w:trHeight w:val="1080"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水</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水生态保护修复</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长春市九台区莲花桥断面水质提升（人工湿地）工程</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新建表流沉淀塘38000m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，潮汐流湿地54000m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，曝气塔1套，生物强化脱氮池18000m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，液压拦河闸1座，提升泵井3座，水质检测系统1套，以及相关配套工程，总占地面积 16.008万m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谋划</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九台区住建局</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在九台小南河出境店面莲花桥上游</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19992</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161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前期手续均已完工，正在履行招标程序。</w:t>
            </w:r>
          </w:p>
        </w:tc>
        <w:tc>
          <w:tcPr>
            <w:tcW w:w="823" w:type="dxa"/>
            <w:tcBorders>
              <w:tl2br w:val="nil"/>
              <w:tr2bl w:val="nil"/>
            </w:tcBorders>
            <w:vAlign w:val="center"/>
          </w:tcPr>
          <w:p>
            <w:pPr>
              <w:widowControl/>
              <w:jc w:val="center"/>
              <w:textAlignment w:val="center"/>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地方上报</w:t>
            </w:r>
          </w:p>
        </w:tc>
      </w:tr>
      <w:tr>
        <w:trPr>
          <w:trHeight w:val="1620"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4</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土壤</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农业面源污染治理</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上河湾粪污处理中心建设项目建设项目</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建地点位于上河湾镇干沟村，项目占地5万m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，建设规模为年处理畜禽粪污60万吨，年生产有机肥20万吨。</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吉林九翔农业发展有限公司</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上河湾镇干沟村</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2022-2025</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5214</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w:t>
            </w:r>
          </w:p>
        </w:tc>
        <w:tc>
          <w:tcPr>
            <w:tcW w:w="161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3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长春市九台区畜牧业管理局上报</w:t>
            </w:r>
          </w:p>
        </w:tc>
      </w:tr>
      <w:tr>
        <w:trPr>
          <w:trHeight w:val="1954"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土壤</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农业面源污染治理</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龙嘉街道粪污处理中心</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建设地点位于龙嘉街道泉眼村，项目占地面积2万m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，建设规模为年处理畜禽粪污10万吨，年产有机肥3万吨</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吉林省户洁家美科技发展有限公司</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龙嘉街道泉眼村</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2022-2025</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2314</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w:t>
            </w:r>
          </w:p>
        </w:tc>
        <w:tc>
          <w:tcPr>
            <w:tcW w:w="161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3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长春市九台区畜牧业管理局上报</w:t>
            </w:r>
          </w:p>
        </w:tc>
      </w:tr>
      <w:tr>
        <w:trPr>
          <w:trHeight w:val="1080" w:hRule="atLeast"/>
        </w:trPr>
        <w:tc>
          <w:tcPr>
            <w:tcW w:w="430"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6</w:t>
            </w:r>
          </w:p>
        </w:tc>
        <w:tc>
          <w:tcPr>
            <w:tcW w:w="445"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土壤</w:t>
            </w:r>
          </w:p>
        </w:tc>
        <w:tc>
          <w:tcPr>
            <w:tcW w:w="96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农业面源污染治理</w:t>
            </w:r>
          </w:p>
        </w:tc>
        <w:tc>
          <w:tcPr>
            <w:tcW w:w="148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土们岭街道粪污处理中心建设项目</w:t>
            </w:r>
          </w:p>
        </w:tc>
        <w:tc>
          <w:tcPr>
            <w:tcW w:w="228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建设地点土们岭街道土们岭村，项目占地2万m</w:t>
            </w:r>
            <w:r>
              <w:rPr>
                <w:rFonts w:hint="eastAsia" w:ascii="Times New Roman" w:hAnsi="Times New Roman" w:eastAsia="宋体" w:cs="Times New Roman"/>
                <w:i w:val="0"/>
                <w:iCs w:val="0"/>
                <w:color w:val="000000"/>
                <w:kern w:val="0"/>
                <w:sz w:val="21"/>
                <w:szCs w:val="21"/>
                <w:u w:val="none"/>
                <w:vertAlign w:val="superscript"/>
                <w:lang w:val="en-US" w:eastAsia="zh-CN"/>
              </w:rPr>
              <w:t>2</w:t>
            </w:r>
            <w:r>
              <w:rPr>
                <w:rFonts w:hint="eastAsia" w:ascii="Times New Roman" w:hAnsi="Times New Roman" w:eastAsia="宋体" w:cs="Times New Roman"/>
                <w:i w:val="0"/>
                <w:iCs w:val="0"/>
                <w:color w:val="000000"/>
                <w:kern w:val="0"/>
                <w:sz w:val="21"/>
                <w:szCs w:val="21"/>
                <w:u w:val="none"/>
                <w:lang w:val="en-US" w:eastAsia="zh-CN"/>
              </w:rPr>
              <w:t>，年处理粪污10万吨，年生产有机肥3万吨。</w:t>
            </w:r>
          </w:p>
        </w:tc>
        <w:tc>
          <w:tcPr>
            <w:tcW w:w="55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吉林省康福环保能源有限公司</w:t>
            </w:r>
          </w:p>
        </w:tc>
        <w:tc>
          <w:tcPr>
            <w:tcW w:w="97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土们岭街道土们岭村</w:t>
            </w:r>
          </w:p>
        </w:tc>
        <w:tc>
          <w:tcPr>
            <w:tcW w:w="1546"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2022-2025</w:t>
            </w:r>
          </w:p>
        </w:tc>
        <w:tc>
          <w:tcPr>
            <w:tcW w:w="899"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2260</w:t>
            </w:r>
          </w:p>
        </w:tc>
        <w:tc>
          <w:tcPr>
            <w:tcW w:w="738"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w:t>
            </w:r>
          </w:p>
        </w:tc>
        <w:tc>
          <w:tcPr>
            <w:tcW w:w="1614" w:type="dxa"/>
            <w:tcBorders>
              <w:tl2br w:val="nil"/>
              <w:tr2bl w:val="nil"/>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3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长春市九台区畜牧业管理局上报</w:t>
            </w:r>
          </w:p>
        </w:tc>
      </w:tr>
      <w:tr>
        <w:trPr>
          <w:trHeight w:val="425" w:hRule="atLeast"/>
        </w:trPr>
        <w:tc>
          <w:tcPr>
            <w:tcW w:w="430"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7</w:t>
            </w:r>
          </w:p>
        </w:tc>
        <w:tc>
          <w:tcPr>
            <w:tcW w:w="445"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土壤</w:t>
            </w:r>
          </w:p>
        </w:tc>
        <w:tc>
          <w:tcPr>
            <w:tcW w:w="96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农村黑臭水体治理</w:t>
            </w:r>
          </w:p>
        </w:tc>
        <w:tc>
          <w:tcPr>
            <w:tcW w:w="148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九台区九郊街道杨家村黑臭水体治理工程</w:t>
            </w:r>
          </w:p>
        </w:tc>
        <w:tc>
          <w:tcPr>
            <w:tcW w:w="228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于杨家村左岸支流3，自唐家村1社至杨家河；于杨家河右岸支流7，自杨家村东沟桥至杨家河，进行控源截污、构建水环境微生物生态系统。</w:t>
            </w:r>
          </w:p>
        </w:tc>
        <w:tc>
          <w:tcPr>
            <w:tcW w:w="55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长春市生态环境局九台区分局</w:t>
            </w:r>
          </w:p>
        </w:tc>
        <w:tc>
          <w:tcPr>
            <w:tcW w:w="97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九郊街道杨家村</w:t>
            </w:r>
          </w:p>
        </w:tc>
        <w:tc>
          <w:tcPr>
            <w:tcW w:w="154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2022-2025</w:t>
            </w:r>
          </w:p>
        </w:tc>
        <w:tc>
          <w:tcPr>
            <w:tcW w:w="89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1800</w:t>
            </w:r>
          </w:p>
        </w:tc>
        <w:tc>
          <w:tcPr>
            <w:tcW w:w="738"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长春市生态环境局九台区分局</w:t>
            </w:r>
          </w:p>
        </w:tc>
        <w:tc>
          <w:tcPr>
            <w:tcW w:w="161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本次谋划</w:t>
            </w:r>
          </w:p>
        </w:tc>
      </w:tr>
      <w:tr>
        <w:trPr>
          <w:trHeight w:val="810" w:hRule="atLeast"/>
        </w:trPr>
        <w:tc>
          <w:tcPr>
            <w:tcW w:w="430"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8</w:t>
            </w:r>
          </w:p>
        </w:tc>
        <w:tc>
          <w:tcPr>
            <w:tcW w:w="445"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生态</w:t>
            </w:r>
          </w:p>
        </w:tc>
        <w:tc>
          <w:tcPr>
            <w:tcW w:w="96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持续提高生态系统质量及稳定性</w:t>
            </w:r>
          </w:p>
        </w:tc>
        <w:tc>
          <w:tcPr>
            <w:tcW w:w="148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长春九台区历史遗留废弃矿山生态修复项目</w:t>
            </w:r>
          </w:p>
        </w:tc>
        <w:tc>
          <w:tcPr>
            <w:tcW w:w="228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（长春市九台区废弃矿山自然恢复调查评估及人工干预设计报告）（6处）</w:t>
            </w:r>
          </w:p>
        </w:tc>
        <w:tc>
          <w:tcPr>
            <w:tcW w:w="55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97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2021-2023</w:t>
            </w:r>
          </w:p>
        </w:tc>
        <w:tc>
          <w:tcPr>
            <w:tcW w:w="89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100</w:t>
            </w:r>
          </w:p>
        </w:tc>
        <w:tc>
          <w:tcPr>
            <w:tcW w:w="738"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九台区自然资源局</w:t>
            </w:r>
          </w:p>
        </w:tc>
        <w:tc>
          <w:tcPr>
            <w:tcW w:w="161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施工基本完成，施工单位正在整改，整改完成后组织专家验收</w:t>
            </w:r>
          </w:p>
        </w:tc>
        <w:tc>
          <w:tcPr>
            <w:tcW w:w="823"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地方上报</w:t>
            </w:r>
          </w:p>
        </w:tc>
      </w:tr>
      <w:tr>
        <w:trPr>
          <w:trHeight w:val="810" w:hRule="atLeast"/>
        </w:trPr>
        <w:tc>
          <w:tcPr>
            <w:tcW w:w="430"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9</w:t>
            </w:r>
          </w:p>
        </w:tc>
        <w:tc>
          <w:tcPr>
            <w:tcW w:w="445"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生态</w:t>
            </w:r>
          </w:p>
        </w:tc>
        <w:tc>
          <w:tcPr>
            <w:tcW w:w="96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持续提高生态系统质量及稳定性</w:t>
            </w:r>
          </w:p>
        </w:tc>
        <w:tc>
          <w:tcPr>
            <w:tcW w:w="148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长春九台区历史遗留废弃矿山生态修复项目</w:t>
            </w:r>
          </w:p>
        </w:tc>
        <w:tc>
          <w:tcPr>
            <w:tcW w:w="228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（长春市九台区2021年历史遗留矿山地址环境恢复治理项目）（15处）</w:t>
            </w:r>
          </w:p>
        </w:tc>
        <w:tc>
          <w:tcPr>
            <w:tcW w:w="55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97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2021-2023</w:t>
            </w:r>
          </w:p>
        </w:tc>
        <w:tc>
          <w:tcPr>
            <w:tcW w:w="89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1657</w:t>
            </w:r>
          </w:p>
        </w:tc>
        <w:tc>
          <w:tcPr>
            <w:tcW w:w="738"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九台区自然资源局</w:t>
            </w:r>
          </w:p>
        </w:tc>
        <w:tc>
          <w:tcPr>
            <w:tcW w:w="161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招标已完成，正在施工</w:t>
            </w:r>
          </w:p>
        </w:tc>
        <w:tc>
          <w:tcPr>
            <w:tcW w:w="823"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地方上报</w:t>
            </w:r>
          </w:p>
        </w:tc>
      </w:tr>
      <w:tr>
        <w:trPr>
          <w:trHeight w:val="810" w:hRule="atLeast"/>
        </w:trPr>
        <w:tc>
          <w:tcPr>
            <w:tcW w:w="430"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10</w:t>
            </w:r>
          </w:p>
        </w:tc>
        <w:tc>
          <w:tcPr>
            <w:tcW w:w="445"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生态</w:t>
            </w:r>
          </w:p>
        </w:tc>
        <w:tc>
          <w:tcPr>
            <w:tcW w:w="96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持续提高生态系统质量及稳定性</w:t>
            </w:r>
          </w:p>
        </w:tc>
        <w:tc>
          <w:tcPr>
            <w:tcW w:w="148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长春九台区历史遗留废弃矿山生态修复项目</w:t>
            </w:r>
          </w:p>
        </w:tc>
        <w:tc>
          <w:tcPr>
            <w:tcW w:w="228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6家地质公园项目</w:t>
            </w:r>
          </w:p>
        </w:tc>
        <w:tc>
          <w:tcPr>
            <w:tcW w:w="55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谋划</w:t>
            </w:r>
          </w:p>
        </w:tc>
        <w:tc>
          <w:tcPr>
            <w:tcW w:w="139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97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2021-2025</w:t>
            </w:r>
          </w:p>
        </w:tc>
        <w:tc>
          <w:tcPr>
            <w:tcW w:w="899"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1000</w:t>
            </w:r>
          </w:p>
        </w:tc>
        <w:tc>
          <w:tcPr>
            <w:tcW w:w="738"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九台区自然资源局</w:t>
            </w:r>
          </w:p>
        </w:tc>
        <w:tc>
          <w:tcPr>
            <w:tcW w:w="1614"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36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地方上报</w:t>
            </w:r>
          </w:p>
        </w:tc>
      </w:tr>
      <w:tr>
        <w:trPr>
          <w:trHeight w:val="810" w:hRule="atLeast"/>
        </w:trPr>
        <w:tc>
          <w:tcPr>
            <w:tcW w:w="430"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11</w:t>
            </w:r>
          </w:p>
        </w:tc>
        <w:tc>
          <w:tcPr>
            <w:tcW w:w="445"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生态</w:t>
            </w:r>
          </w:p>
        </w:tc>
        <w:tc>
          <w:tcPr>
            <w:tcW w:w="96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持续提高生态系统质量及稳定性</w:t>
            </w:r>
          </w:p>
        </w:tc>
        <w:tc>
          <w:tcPr>
            <w:tcW w:w="148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长春九台区历史遗留废弃矿山生态修复项目</w:t>
            </w:r>
          </w:p>
        </w:tc>
        <w:tc>
          <w:tcPr>
            <w:tcW w:w="228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（长春市九台区2022年历史遗留矿山地质环境恢复治理项目）（32处）</w:t>
            </w:r>
          </w:p>
        </w:tc>
        <w:tc>
          <w:tcPr>
            <w:tcW w:w="55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谋划</w:t>
            </w:r>
          </w:p>
        </w:tc>
        <w:tc>
          <w:tcPr>
            <w:tcW w:w="139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97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2021-2025</w:t>
            </w:r>
          </w:p>
        </w:tc>
        <w:tc>
          <w:tcPr>
            <w:tcW w:w="89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1.2亿</w:t>
            </w:r>
          </w:p>
        </w:tc>
        <w:tc>
          <w:tcPr>
            <w:tcW w:w="738"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九台区自然资源局</w:t>
            </w:r>
          </w:p>
        </w:tc>
        <w:tc>
          <w:tcPr>
            <w:tcW w:w="161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前期</w:t>
            </w:r>
          </w:p>
        </w:tc>
        <w:tc>
          <w:tcPr>
            <w:tcW w:w="823"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地方上报</w:t>
            </w:r>
          </w:p>
        </w:tc>
      </w:tr>
      <w:tr>
        <w:trPr>
          <w:trHeight w:val="1080" w:hRule="atLeast"/>
        </w:trPr>
        <w:tc>
          <w:tcPr>
            <w:tcW w:w="430"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12</w:t>
            </w:r>
          </w:p>
        </w:tc>
        <w:tc>
          <w:tcPr>
            <w:tcW w:w="445"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固废</w:t>
            </w:r>
          </w:p>
        </w:tc>
        <w:tc>
          <w:tcPr>
            <w:tcW w:w="96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危险</w:t>
            </w:r>
          </w:p>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废物</w:t>
            </w:r>
            <w:r>
              <w:rPr>
                <w:rFonts w:hint="eastAsia" w:ascii="Times New Roman" w:hAnsi="Times New Roman" w:eastAsia="宋体" w:cs="Times New Roman"/>
                <w:i w:val="0"/>
                <w:iCs w:val="0"/>
                <w:color w:val="000000"/>
                <w:kern w:val="0"/>
                <w:sz w:val="21"/>
                <w:szCs w:val="21"/>
                <w:u w:val="none"/>
                <w:lang w:val="en-US" w:eastAsia="zh-CN"/>
              </w:rPr>
              <w:br/>
            </w:r>
            <w:r>
              <w:rPr>
                <w:rFonts w:hint="eastAsia" w:ascii="Times New Roman" w:hAnsi="Times New Roman" w:eastAsia="宋体" w:cs="Times New Roman"/>
                <w:i w:val="0"/>
                <w:iCs w:val="0"/>
                <w:color w:val="000000"/>
                <w:kern w:val="0"/>
                <w:sz w:val="21"/>
                <w:szCs w:val="21"/>
                <w:u w:val="none"/>
                <w:lang w:val="en-US" w:eastAsia="zh-CN"/>
              </w:rPr>
              <w:t>处置</w:t>
            </w:r>
          </w:p>
        </w:tc>
        <w:tc>
          <w:tcPr>
            <w:tcW w:w="148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吉林省晴天环保科技处理中心有限公司日处理120吨医废危废环保项目</w:t>
            </w:r>
          </w:p>
        </w:tc>
        <w:tc>
          <w:tcPr>
            <w:tcW w:w="2289" w:type="dxa"/>
            <w:tcBorders>
              <w:tl2br w:val="nil"/>
              <w:tr2bl w:val="nil"/>
            </w:tcBorders>
            <w:vAlign w:val="center"/>
          </w:tcPr>
          <w:p>
            <w:pPr>
              <w:widowControl/>
              <w:wordWrap/>
              <w:adjustRightInd/>
              <w:snapToGrid/>
              <w:spacing w:before="0" w:after="0" w:line="2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新增一套日处理120吨回转窑焚烧系统处理危险废物及医疗废物，其中危险废物年处置能力32800吨，医疗废物年处置能力5000吨；新增2废包装桶处置综合利用生产线。</w:t>
            </w:r>
          </w:p>
        </w:tc>
        <w:tc>
          <w:tcPr>
            <w:tcW w:w="55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吉林省晴天环保科技处理中心有限公司</w:t>
            </w:r>
          </w:p>
        </w:tc>
        <w:tc>
          <w:tcPr>
            <w:tcW w:w="97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 xml:space="preserve">2021年 </w:t>
            </w:r>
          </w:p>
        </w:tc>
        <w:tc>
          <w:tcPr>
            <w:tcW w:w="89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7000</w:t>
            </w:r>
          </w:p>
        </w:tc>
        <w:tc>
          <w:tcPr>
            <w:tcW w:w="738"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161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2021年5月份已开工，现在设备安装阶段。预计2021年年底投产</w:t>
            </w:r>
          </w:p>
        </w:tc>
        <w:tc>
          <w:tcPr>
            <w:tcW w:w="823"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企业上报</w:t>
            </w:r>
          </w:p>
        </w:tc>
      </w:tr>
      <w:tr>
        <w:trPr>
          <w:trHeight w:val="1080" w:hRule="atLeast"/>
        </w:trPr>
        <w:tc>
          <w:tcPr>
            <w:tcW w:w="430"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rPr>
              <w:t>1</w:t>
            </w:r>
            <w:r>
              <w:rPr>
                <w:rFonts w:hint="eastAsia" w:ascii="Times New Roman" w:hAnsi="Times New Roman" w:eastAsia="宋体" w:cs="Times New Roman"/>
                <w:i w:val="0"/>
                <w:iCs w:val="0"/>
                <w:color w:val="000000"/>
                <w:kern w:val="0"/>
                <w:sz w:val="21"/>
                <w:szCs w:val="21"/>
                <w:u w:val="none"/>
                <w:lang w:val="en-US" w:eastAsia="zh-CN"/>
              </w:rPr>
              <w:t>3</w:t>
            </w:r>
          </w:p>
        </w:tc>
        <w:tc>
          <w:tcPr>
            <w:tcW w:w="445"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固废</w:t>
            </w:r>
          </w:p>
        </w:tc>
        <w:tc>
          <w:tcPr>
            <w:tcW w:w="96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eastAsia"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危险</w:t>
            </w:r>
          </w:p>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废物</w:t>
            </w:r>
            <w:r>
              <w:rPr>
                <w:rFonts w:hint="eastAsia" w:ascii="Times New Roman" w:hAnsi="Times New Roman" w:eastAsia="宋体" w:cs="Times New Roman"/>
                <w:i w:val="0"/>
                <w:iCs w:val="0"/>
                <w:color w:val="000000"/>
                <w:kern w:val="0"/>
                <w:sz w:val="21"/>
                <w:szCs w:val="21"/>
                <w:u w:val="none"/>
                <w:lang w:val="en-US" w:eastAsia="zh-CN"/>
              </w:rPr>
              <w:br/>
            </w:r>
            <w:r>
              <w:rPr>
                <w:rFonts w:hint="eastAsia" w:ascii="Times New Roman" w:hAnsi="Times New Roman" w:eastAsia="宋体" w:cs="Times New Roman"/>
                <w:i w:val="0"/>
                <w:iCs w:val="0"/>
                <w:color w:val="000000"/>
                <w:kern w:val="0"/>
                <w:sz w:val="21"/>
                <w:szCs w:val="21"/>
                <w:u w:val="none"/>
                <w:lang w:val="en-US" w:eastAsia="zh-CN"/>
              </w:rPr>
              <w:t>处置</w:t>
            </w:r>
          </w:p>
        </w:tc>
        <w:tc>
          <w:tcPr>
            <w:tcW w:w="148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吉林省晴天环保科技处理中心有限公司工业固体废物处置中心建设项目</w:t>
            </w:r>
          </w:p>
        </w:tc>
        <w:tc>
          <w:tcPr>
            <w:tcW w:w="228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总设计填埋量25.2万吨。</w:t>
            </w:r>
          </w:p>
        </w:tc>
        <w:tc>
          <w:tcPr>
            <w:tcW w:w="55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谋划</w:t>
            </w:r>
          </w:p>
        </w:tc>
        <w:tc>
          <w:tcPr>
            <w:tcW w:w="139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吉林省晴天环保科技处理中心有限公司</w:t>
            </w:r>
          </w:p>
        </w:tc>
        <w:tc>
          <w:tcPr>
            <w:tcW w:w="97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2022-2025</w:t>
            </w:r>
          </w:p>
        </w:tc>
        <w:tc>
          <w:tcPr>
            <w:tcW w:w="89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20000</w:t>
            </w:r>
          </w:p>
        </w:tc>
        <w:tc>
          <w:tcPr>
            <w:tcW w:w="738"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161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已完成环评，预计2022年3月开工建设</w:t>
            </w:r>
          </w:p>
        </w:tc>
        <w:tc>
          <w:tcPr>
            <w:tcW w:w="823"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企业上报</w:t>
            </w:r>
          </w:p>
        </w:tc>
      </w:tr>
      <w:tr>
        <w:trPr>
          <w:trHeight w:val="810" w:hRule="atLeast"/>
        </w:trPr>
        <w:tc>
          <w:tcPr>
            <w:tcW w:w="430"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rPr>
              <w:t>1</w:t>
            </w:r>
            <w:r>
              <w:rPr>
                <w:rFonts w:hint="eastAsia" w:ascii="Times New Roman" w:hAnsi="Times New Roman" w:eastAsia="宋体" w:cs="Times New Roman"/>
                <w:i w:val="0"/>
                <w:iCs w:val="0"/>
                <w:color w:val="000000"/>
                <w:kern w:val="0"/>
                <w:sz w:val="21"/>
                <w:szCs w:val="21"/>
                <w:u w:val="none"/>
                <w:lang w:val="en-US" w:eastAsia="zh-CN"/>
              </w:rPr>
              <w:t>4</w:t>
            </w:r>
          </w:p>
        </w:tc>
        <w:tc>
          <w:tcPr>
            <w:tcW w:w="445"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固废</w:t>
            </w:r>
          </w:p>
        </w:tc>
        <w:tc>
          <w:tcPr>
            <w:tcW w:w="96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生活源固体废物处置</w:t>
            </w:r>
          </w:p>
        </w:tc>
        <w:tc>
          <w:tcPr>
            <w:tcW w:w="148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长春市九台区生活垃圾焚烧发电项目</w:t>
            </w:r>
          </w:p>
        </w:tc>
        <w:tc>
          <w:tcPr>
            <w:tcW w:w="2289" w:type="dxa"/>
            <w:tcBorders>
              <w:tl2br w:val="nil"/>
              <w:tr2bl w:val="nil"/>
            </w:tcBorders>
            <w:vAlign w:val="center"/>
          </w:tcPr>
          <w:p>
            <w:pPr>
              <w:widowControl/>
              <w:wordWrap/>
              <w:adjustRightInd/>
              <w:snapToGrid/>
              <w:spacing w:before="0" w:after="0" w:line="26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项目设计规模为日处理城市生活垃圾1200吨，年处理43.8万吨，其中一期新建2条400t/d垃圾焚烧生产线+15MW抽凝式汽轮发电机组二期建设1条400t/d垃圾焚烧生产线+1台9MW的纯凝式汽轮发电机组</w:t>
            </w:r>
          </w:p>
        </w:tc>
        <w:tc>
          <w:tcPr>
            <w:tcW w:w="55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实施</w:t>
            </w:r>
          </w:p>
        </w:tc>
        <w:tc>
          <w:tcPr>
            <w:tcW w:w="139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九台区天楹环保能源有限公司</w:t>
            </w:r>
          </w:p>
        </w:tc>
        <w:tc>
          <w:tcPr>
            <w:tcW w:w="97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w:t>
            </w:r>
          </w:p>
        </w:tc>
        <w:tc>
          <w:tcPr>
            <w:tcW w:w="1546"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2020.6-2022.12</w:t>
            </w:r>
          </w:p>
        </w:tc>
        <w:tc>
          <w:tcPr>
            <w:tcW w:w="899"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50000</w:t>
            </w:r>
          </w:p>
        </w:tc>
        <w:tc>
          <w:tcPr>
            <w:tcW w:w="738"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九台区政府</w:t>
            </w:r>
          </w:p>
        </w:tc>
        <w:tc>
          <w:tcPr>
            <w:tcW w:w="1614"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2020年6月已开工建设，现土建工程已完成90%。</w:t>
            </w:r>
          </w:p>
        </w:tc>
        <w:tc>
          <w:tcPr>
            <w:tcW w:w="823" w:type="dxa"/>
            <w:tcBorders>
              <w:tl2br w:val="nil"/>
              <w:tr2bl w:val="nil"/>
            </w:tcBorders>
            <w:vAlign w:val="center"/>
          </w:tcPr>
          <w:p>
            <w:pPr>
              <w:widowControl/>
              <w:wordWrap/>
              <w:adjustRightInd/>
              <w:snapToGrid/>
              <w:spacing w:before="0" w:after="0" w:line="280" w:lineRule="exact"/>
              <w:ind w:left="0" w:leftChars="0" w:right="0" w:firstLine="0" w:firstLineChars="0"/>
              <w:jc w:val="center"/>
              <w:textAlignment w:val="center"/>
              <w:outlineLvl w:val="9"/>
              <w:rPr>
                <w:rFonts w:hint="default" w:ascii="Times New Roman" w:hAnsi="Times New Roman" w:eastAsia="宋体" w:cs="Times New Roman"/>
                <w:i w:val="0"/>
                <w:iCs w:val="0"/>
                <w:color w:val="000000"/>
                <w:kern w:val="0"/>
                <w:sz w:val="21"/>
                <w:szCs w:val="21"/>
                <w:u w:val="none"/>
                <w:lang w:val="en-US" w:eastAsia="zh-CN"/>
              </w:rPr>
            </w:pPr>
            <w:r>
              <w:rPr>
                <w:rFonts w:hint="eastAsia" w:ascii="Times New Roman" w:hAnsi="Times New Roman" w:eastAsia="宋体" w:cs="Times New Roman"/>
                <w:i w:val="0"/>
                <w:iCs w:val="0"/>
                <w:color w:val="000000"/>
                <w:kern w:val="0"/>
                <w:sz w:val="21"/>
                <w:szCs w:val="21"/>
                <w:u w:val="none"/>
                <w:lang w:val="en-US" w:eastAsia="zh-CN"/>
              </w:rPr>
              <w:t>县（市区）</w:t>
            </w:r>
            <w:r>
              <w:rPr>
                <w:rFonts w:hint="eastAsia" w:ascii="Times New Roman" w:hAnsi="Times New Roman" w:eastAsia="宋体" w:cs="Times New Roman"/>
                <w:i w:val="0"/>
                <w:iCs w:val="0"/>
                <w:color w:val="000000"/>
                <w:kern w:val="0"/>
                <w:sz w:val="21"/>
                <w:szCs w:val="21"/>
                <w:u w:val="none"/>
                <w:lang w:val="en-US" w:eastAsia="zh-CN"/>
              </w:rPr>
              <w:br/>
            </w:r>
            <w:r>
              <w:rPr>
                <w:rFonts w:hint="eastAsia" w:ascii="Times New Roman" w:hAnsi="Times New Roman" w:eastAsia="宋体" w:cs="Times New Roman"/>
                <w:i w:val="0"/>
                <w:iCs w:val="0"/>
                <w:color w:val="000000"/>
                <w:kern w:val="0"/>
                <w:sz w:val="21"/>
                <w:szCs w:val="21"/>
                <w:u w:val="none"/>
                <w:lang w:val="en-US" w:eastAsia="zh-CN"/>
              </w:rPr>
              <w:t>上报</w:t>
            </w:r>
          </w:p>
        </w:tc>
      </w:tr>
    </w:tbl>
    <w:p>
      <w:pPr>
        <w:rPr>
          <w:rFonts w:hint="default" w:ascii="Times New Roman" w:hAnsi="Times New Roman" w:cs="Times New Roman"/>
        </w:rPr>
      </w:pPr>
      <w:bookmarkStart w:id="0" w:name="_GoBack"/>
      <w:bookmarkEnd w:id="0"/>
    </w:p>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character" w:customStyle="1" w:styleId="3">
    <w:name w:val="font31"/>
    <w:basedOn w:val="2"/>
    <w:qFormat/>
    <w:uiPriority w:val="0"/>
    <w:rPr>
      <w:rFonts w:hint="eastAsia" w:ascii="宋体" w:hAnsi="宋体" w:eastAsia="宋体" w:cs="宋体"/>
      <w:color w:val="00B0F0"/>
      <w:sz w:val="22"/>
      <w:szCs w:val="22"/>
      <w:u w:val="none"/>
    </w:rPr>
  </w:style>
  <w:style w:type="character" w:customStyle="1" w:styleId="4">
    <w:name w:val="font11"/>
    <w:basedOn w:val="2"/>
    <w:qFormat/>
    <w:uiPriority w:val="0"/>
    <w:rPr>
      <w:rFonts w:hint="eastAsia" w:ascii="宋体" w:hAnsi="宋体" w:eastAsia="宋体" w:cs="宋体"/>
      <w:color w:val="00B0F0"/>
      <w:sz w:val="22"/>
      <w:szCs w:val="22"/>
      <w:u w:val="none"/>
      <w:vertAlign w:val="superscript"/>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1766</Words>
  <Characters>2039</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2022-05-25T05:11:00Z</dcterms:created>
  <dc:creator>遗忘</dc:creator>
  <cp:lastModifiedBy>Administrator</cp:lastModifiedBy>
  <cp:lastPrinted>2022-11-28T07:38:00Z</cp:lastPrinted>
  <dcterms:modified xsi:type="dcterms:W3CDTF">2022-12-07T01:12:13Z</dcterms:modified>
  <dc:title>长春市九台区生态环境保护“十四五”规划项目清单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6BF8234F98D84DEDB67EA92683D4F2E6</vt:lpwstr>
  </property>
</Properties>
</file>